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49" w:rsidRDefault="00325556">
      <w:pPr>
        <w:pStyle w:val="a6"/>
        <w:snapToGrid/>
        <w:spacing w:line="240" w:lineRule="auto"/>
      </w:pPr>
      <w:r>
        <w:rPr>
          <w:rFonts w:hint="eastAsia"/>
        </w:rPr>
        <w:fldChar w:fldCharType="begin"/>
      </w:r>
      <w:r>
        <w:rPr>
          <w:rFonts w:hint="eastAsia"/>
        </w:rPr>
        <w:instrText>ADDIN CNKISM.UserStyle</w:instrText>
      </w:r>
      <w:r>
        <w:rPr>
          <w:rFonts w:hint="eastAsia"/>
        </w:rPr>
        <w:fldChar w:fldCharType="end"/>
      </w: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 xml:space="preserve"> 24-25-2-</w:t>
      </w:r>
      <w:r>
        <w:rPr>
          <w:rFonts w:hint="eastAsia"/>
        </w:rPr>
        <w:t>6</w:t>
      </w:r>
    </w:p>
    <w:p w:rsidR="00701249" w:rsidRDefault="00325556">
      <w:pPr>
        <w:snapToGrid/>
        <w:jc w:val="center"/>
      </w:pPr>
      <w:r>
        <w:t xml:space="preserve"> </w:t>
      </w:r>
    </w:p>
    <w:p w:rsidR="00701249" w:rsidRDefault="00325556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59"/>
        <w:gridCol w:w="3119"/>
        <w:gridCol w:w="1276"/>
        <w:gridCol w:w="1387"/>
      </w:tblGrid>
      <w:tr w:rsidR="00701249">
        <w:trPr>
          <w:jc w:val="center"/>
        </w:trPr>
        <w:tc>
          <w:tcPr>
            <w:tcW w:w="1696" w:type="dxa"/>
          </w:tcPr>
          <w:p w:rsidR="00701249" w:rsidRDefault="0032555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559" w:type="dxa"/>
          </w:tcPr>
          <w:p w:rsidR="00701249" w:rsidRDefault="0032555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3119" w:type="dxa"/>
          </w:tcPr>
          <w:p w:rsidR="00701249" w:rsidRDefault="0032555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276" w:type="dxa"/>
          </w:tcPr>
          <w:p w:rsidR="00701249" w:rsidRDefault="0032555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701249" w:rsidRDefault="0032555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</w:t>
            </w:r>
            <w:r>
              <w:rPr>
                <w:rFonts w:ascii="宋体" w:eastAsia="宋体" w:hAnsi="宋体"/>
                <w:b/>
              </w:rPr>
              <w:t>/</w:t>
            </w:r>
            <w:r>
              <w:rPr>
                <w:rFonts w:ascii="宋体" w:eastAsia="宋体" w:hAnsi="宋体"/>
                <w:b/>
              </w:rPr>
              <w:t>措施</w:t>
            </w:r>
          </w:p>
        </w:tc>
      </w:tr>
      <w:tr w:rsidR="00701249">
        <w:trPr>
          <w:trHeight w:val="3158"/>
          <w:jc w:val="center"/>
        </w:trPr>
        <w:tc>
          <w:tcPr>
            <w:tcW w:w="1696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C284C">
              <w:rPr>
                <w:color w:val="000000"/>
              </w:rPr>
              <w:t>格致楼</w:t>
            </w:r>
            <w:r w:rsidRPr="007C284C">
              <w:rPr>
                <w:color w:val="000000"/>
              </w:rPr>
              <w:t>B117</w:t>
            </w:r>
          </w:p>
        </w:tc>
        <w:tc>
          <w:tcPr>
            <w:tcW w:w="1559" w:type="dxa"/>
          </w:tcPr>
          <w:p w:rsidR="00701249" w:rsidRDefault="00325556">
            <w:pPr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配电箱前不应有物品遮挡并便于操作，周围不应放置烘箱</w:t>
            </w:r>
          </w:p>
          <w:p w:rsidR="00701249" w:rsidRDefault="00701249">
            <w:pPr>
              <w:pStyle w:val="a9"/>
              <w:ind w:left="360" w:firstLineChars="0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01249" w:rsidRDefault="00325556">
            <w:pPr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33880" cy="2444750"/>
                  <wp:effectExtent l="0" t="0" r="0" b="0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8.1.1</w:t>
            </w:r>
          </w:p>
        </w:tc>
        <w:tc>
          <w:tcPr>
            <w:tcW w:w="1387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r w:rsidRPr="007C284C">
              <w:rPr>
                <w:color w:val="000000"/>
              </w:rPr>
              <w:t>立整立改</w:t>
            </w:r>
          </w:p>
        </w:tc>
      </w:tr>
      <w:tr w:rsidR="00701249">
        <w:trPr>
          <w:trHeight w:val="2620"/>
          <w:jc w:val="center"/>
        </w:trPr>
        <w:tc>
          <w:tcPr>
            <w:tcW w:w="1696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r w:rsidRPr="007C284C">
              <w:rPr>
                <w:color w:val="000000"/>
              </w:rPr>
              <w:t>格致楼</w:t>
            </w:r>
            <w:r w:rsidRPr="007C284C">
              <w:rPr>
                <w:color w:val="000000"/>
              </w:rPr>
              <w:t>B120</w:t>
            </w:r>
          </w:p>
          <w:p w:rsidR="00701249" w:rsidRPr="007C284C" w:rsidRDefault="0070124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01249" w:rsidRDefault="00325556">
            <w:pPr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配电箱前不应有物品遮挡并便于操作，周围不应放置烘箱、废液桶</w:t>
            </w:r>
          </w:p>
          <w:p w:rsidR="00701249" w:rsidRDefault="00701249">
            <w:pPr>
              <w:tabs>
                <w:tab w:val="left" w:pos="312"/>
              </w:tabs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F9625D" wp14:editId="063F886B">
                  <wp:extent cx="1833880" cy="2444750"/>
                  <wp:effectExtent l="0" t="0" r="0" b="0"/>
                  <wp:docPr id="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descrip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8.1.1</w:t>
            </w:r>
          </w:p>
        </w:tc>
        <w:tc>
          <w:tcPr>
            <w:tcW w:w="1387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r w:rsidRPr="007C284C">
              <w:rPr>
                <w:color w:val="000000"/>
              </w:rPr>
              <w:t>立整立改</w:t>
            </w:r>
          </w:p>
        </w:tc>
      </w:tr>
      <w:tr w:rsidR="00701249">
        <w:trPr>
          <w:trHeight w:val="1120"/>
          <w:jc w:val="center"/>
        </w:trPr>
        <w:tc>
          <w:tcPr>
            <w:tcW w:w="1696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r w:rsidRPr="007C284C">
              <w:rPr>
                <w:color w:val="000000"/>
              </w:rPr>
              <w:t>敬德楼</w:t>
            </w:r>
            <w:r w:rsidRPr="007C284C">
              <w:rPr>
                <w:color w:val="000000"/>
              </w:rPr>
              <w:t>C505</w:t>
            </w:r>
            <w:r w:rsidRPr="007C284C">
              <w:rPr>
                <w:rFonts w:hint="eastAsia"/>
                <w:color w:val="000000"/>
              </w:rPr>
              <w:t>西</w:t>
            </w:r>
          </w:p>
        </w:tc>
        <w:tc>
          <w:tcPr>
            <w:tcW w:w="1559" w:type="dxa"/>
          </w:tcPr>
          <w:p w:rsidR="00701249" w:rsidRDefault="00325556">
            <w:pPr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配电箱前不应有物品遮挡并便于操作，周围不应放置易燃易爆试剂</w:t>
            </w:r>
          </w:p>
          <w:p w:rsidR="00701249" w:rsidRDefault="00701249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01249" w:rsidRDefault="0070124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71C068F" wp14:editId="3934781D">
                  <wp:extent cx="1833880" cy="2444750"/>
                  <wp:effectExtent l="0" t="0" r="0" b="0"/>
                  <wp:docPr id="8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 descr="descript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1249" w:rsidRDefault="00701249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lastRenderedPageBreak/>
              <w:t>8.1.1</w:t>
            </w:r>
          </w:p>
        </w:tc>
        <w:tc>
          <w:tcPr>
            <w:tcW w:w="1387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bookmarkStart w:id="0" w:name="OLE_LINK10"/>
            <w:r w:rsidRPr="007C284C">
              <w:rPr>
                <w:color w:val="000000"/>
              </w:rPr>
              <w:t>立整立改</w:t>
            </w:r>
            <w:bookmarkEnd w:id="0"/>
          </w:p>
        </w:tc>
      </w:tr>
      <w:tr w:rsidR="00701249">
        <w:trPr>
          <w:trHeight w:val="1683"/>
          <w:jc w:val="center"/>
        </w:trPr>
        <w:tc>
          <w:tcPr>
            <w:tcW w:w="1696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r w:rsidRPr="007C284C">
              <w:rPr>
                <w:color w:val="000000"/>
              </w:rPr>
              <w:lastRenderedPageBreak/>
              <w:t>敬德楼</w:t>
            </w:r>
            <w:r w:rsidRPr="007C284C">
              <w:rPr>
                <w:color w:val="000000"/>
              </w:rPr>
              <w:t>C507</w:t>
            </w:r>
          </w:p>
        </w:tc>
        <w:tc>
          <w:tcPr>
            <w:tcW w:w="1559" w:type="dxa"/>
          </w:tcPr>
          <w:p w:rsidR="00701249" w:rsidRDefault="00325556">
            <w:pPr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配电箱前不应有物品遮挡并便于操作，周围不应放置易燃易爆试剂、废液桶</w:t>
            </w:r>
          </w:p>
          <w:p w:rsidR="00701249" w:rsidRDefault="0070124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7A6AEA" wp14:editId="226489C5">
                  <wp:extent cx="1833880" cy="2444750"/>
                  <wp:effectExtent l="0" t="0" r="0" b="0"/>
                  <wp:docPr id="11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 descr="descript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8.1.1</w:t>
            </w:r>
          </w:p>
        </w:tc>
        <w:tc>
          <w:tcPr>
            <w:tcW w:w="1387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bookmarkStart w:id="1" w:name="OLE_LINK11"/>
            <w:bookmarkStart w:id="2" w:name="OLE_LINK12"/>
            <w:r w:rsidRPr="007C284C">
              <w:rPr>
                <w:color w:val="000000"/>
              </w:rPr>
              <w:t>立整立改</w:t>
            </w:r>
            <w:bookmarkEnd w:id="1"/>
            <w:bookmarkEnd w:id="2"/>
          </w:p>
        </w:tc>
      </w:tr>
      <w:tr w:rsidR="00701249">
        <w:trPr>
          <w:trHeight w:val="1679"/>
          <w:jc w:val="center"/>
        </w:trPr>
        <w:tc>
          <w:tcPr>
            <w:tcW w:w="1696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bookmarkStart w:id="3" w:name="_GoBack"/>
            <w:bookmarkEnd w:id="3"/>
            <w:r w:rsidRPr="007C284C">
              <w:rPr>
                <w:color w:val="000000"/>
              </w:rPr>
              <w:t>敬德楼</w:t>
            </w:r>
            <w:r w:rsidRPr="007C284C">
              <w:rPr>
                <w:color w:val="000000"/>
              </w:rPr>
              <w:t>C506</w:t>
            </w:r>
            <w:r w:rsidRPr="007C284C">
              <w:rPr>
                <w:color w:val="000000"/>
              </w:rPr>
              <w:t>西</w:t>
            </w:r>
          </w:p>
        </w:tc>
        <w:tc>
          <w:tcPr>
            <w:tcW w:w="1559" w:type="dxa"/>
          </w:tcPr>
          <w:p w:rsidR="00701249" w:rsidRDefault="00325556">
            <w:pPr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配电箱前不应有物品遮挡并便于操作，周围不应放置烘箱</w:t>
            </w:r>
          </w:p>
          <w:p w:rsidR="00701249" w:rsidRDefault="00701249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7EED837" wp14:editId="50E9A2ED">
                  <wp:extent cx="1833880" cy="2444750"/>
                  <wp:effectExtent l="0" t="0" r="0" b="0"/>
                  <wp:docPr id="14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" descr="descrip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01249" w:rsidRDefault="00325556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8.1.1</w:t>
            </w:r>
          </w:p>
        </w:tc>
        <w:tc>
          <w:tcPr>
            <w:tcW w:w="1387" w:type="dxa"/>
          </w:tcPr>
          <w:p w:rsidR="00701249" w:rsidRPr="007C284C" w:rsidRDefault="00325556">
            <w:pPr>
              <w:jc w:val="center"/>
              <w:rPr>
                <w:color w:val="000000"/>
              </w:rPr>
            </w:pPr>
            <w:bookmarkStart w:id="4" w:name="OLE_LINK15"/>
            <w:r w:rsidRPr="007C284C">
              <w:rPr>
                <w:color w:val="000000"/>
              </w:rPr>
              <w:t>立整立改</w:t>
            </w:r>
            <w:bookmarkEnd w:id="4"/>
          </w:p>
        </w:tc>
      </w:tr>
    </w:tbl>
    <w:p w:rsidR="00701249" w:rsidRDefault="00701249">
      <w:pPr>
        <w:snapToGrid/>
      </w:pPr>
    </w:p>
    <w:sectPr w:rsidR="00701249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56" w:rsidRDefault="00325556"/>
  </w:endnote>
  <w:endnote w:type="continuationSeparator" w:id="0">
    <w:p w:rsidR="00325556" w:rsidRDefault="00325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56" w:rsidRDefault="00325556">
      <w:pPr>
        <w:spacing w:before="0" w:after="0"/>
      </w:pPr>
    </w:p>
  </w:footnote>
  <w:footnote w:type="continuationSeparator" w:id="0">
    <w:p w:rsidR="00325556" w:rsidRDefault="00325556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B3B39"/>
    <w:rsid w:val="000C32CC"/>
    <w:rsid w:val="000C6DB3"/>
    <w:rsid w:val="000D6E7D"/>
    <w:rsid w:val="000E2513"/>
    <w:rsid w:val="001226CA"/>
    <w:rsid w:val="0013765A"/>
    <w:rsid w:val="001812B7"/>
    <w:rsid w:val="00194B8B"/>
    <w:rsid w:val="001B2217"/>
    <w:rsid w:val="001B3915"/>
    <w:rsid w:val="001B4454"/>
    <w:rsid w:val="001C3E4E"/>
    <w:rsid w:val="001F2E0A"/>
    <w:rsid w:val="00221B1B"/>
    <w:rsid w:val="00223532"/>
    <w:rsid w:val="0023598F"/>
    <w:rsid w:val="00254DFB"/>
    <w:rsid w:val="002A4463"/>
    <w:rsid w:val="002B645C"/>
    <w:rsid w:val="002B6536"/>
    <w:rsid w:val="00325556"/>
    <w:rsid w:val="0033106C"/>
    <w:rsid w:val="0033568E"/>
    <w:rsid w:val="003419BD"/>
    <w:rsid w:val="003736D7"/>
    <w:rsid w:val="003A4031"/>
    <w:rsid w:val="003C45F6"/>
    <w:rsid w:val="003F394B"/>
    <w:rsid w:val="003F442C"/>
    <w:rsid w:val="00410007"/>
    <w:rsid w:val="0042179E"/>
    <w:rsid w:val="00444829"/>
    <w:rsid w:val="004452FC"/>
    <w:rsid w:val="00462A8E"/>
    <w:rsid w:val="00465D14"/>
    <w:rsid w:val="00481F35"/>
    <w:rsid w:val="004A6EE4"/>
    <w:rsid w:val="004B4071"/>
    <w:rsid w:val="00500C03"/>
    <w:rsid w:val="00530A56"/>
    <w:rsid w:val="00530D21"/>
    <w:rsid w:val="005313F4"/>
    <w:rsid w:val="00531551"/>
    <w:rsid w:val="00586809"/>
    <w:rsid w:val="00597C3D"/>
    <w:rsid w:val="005B12D2"/>
    <w:rsid w:val="005E630F"/>
    <w:rsid w:val="00612315"/>
    <w:rsid w:val="00627721"/>
    <w:rsid w:val="00640F7D"/>
    <w:rsid w:val="00645B5C"/>
    <w:rsid w:val="00647EA3"/>
    <w:rsid w:val="00661304"/>
    <w:rsid w:val="0067600C"/>
    <w:rsid w:val="0068730C"/>
    <w:rsid w:val="00697102"/>
    <w:rsid w:val="006A6D3A"/>
    <w:rsid w:val="006B26EE"/>
    <w:rsid w:val="006C3733"/>
    <w:rsid w:val="006D422F"/>
    <w:rsid w:val="006E1B95"/>
    <w:rsid w:val="00701249"/>
    <w:rsid w:val="00701C72"/>
    <w:rsid w:val="00723E9B"/>
    <w:rsid w:val="00740E79"/>
    <w:rsid w:val="00757190"/>
    <w:rsid w:val="0078083E"/>
    <w:rsid w:val="007839C7"/>
    <w:rsid w:val="007B0EB9"/>
    <w:rsid w:val="007B4A9F"/>
    <w:rsid w:val="007C284C"/>
    <w:rsid w:val="007C5F56"/>
    <w:rsid w:val="007F4338"/>
    <w:rsid w:val="00801C48"/>
    <w:rsid w:val="00806D51"/>
    <w:rsid w:val="0082390B"/>
    <w:rsid w:val="00833832"/>
    <w:rsid w:val="00854A0D"/>
    <w:rsid w:val="00876FDC"/>
    <w:rsid w:val="00897E16"/>
    <w:rsid w:val="008B4EBF"/>
    <w:rsid w:val="008E4DC9"/>
    <w:rsid w:val="008E51C6"/>
    <w:rsid w:val="008F73FE"/>
    <w:rsid w:val="0090289E"/>
    <w:rsid w:val="00926CB2"/>
    <w:rsid w:val="009514AE"/>
    <w:rsid w:val="00952530"/>
    <w:rsid w:val="00993822"/>
    <w:rsid w:val="00996A9B"/>
    <w:rsid w:val="009B3FB7"/>
    <w:rsid w:val="009C654F"/>
    <w:rsid w:val="009C7405"/>
    <w:rsid w:val="009E0754"/>
    <w:rsid w:val="00A40285"/>
    <w:rsid w:val="00A566BE"/>
    <w:rsid w:val="00AA7677"/>
    <w:rsid w:val="00AE3E09"/>
    <w:rsid w:val="00B1041D"/>
    <w:rsid w:val="00B53B99"/>
    <w:rsid w:val="00B632BD"/>
    <w:rsid w:val="00B665F2"/>
    <w:rsid w:val="00B95319"/>
    <w:rsid w:val="00BB3186"/>
    <w:rsid w:val="00BC610A"/>
    <w:rsid w:val="00BD6A76"/>
    <w:rsid w:val="00BE2153"/>
    <w:rsid w:val="00BF1FC6"/>
    <w:rsid w:val="00C009D5"/>
    <w:rsid w:val="00C209FE"/>
    <w:rsid w:val="00C32186"/>
    <w:rsid w:val="00C55AE8"/>
    <w:rsid w:val="00C704CC"/>
    <w:rsid w:val="00C71161"/>
    <w:rsid w:val="00C73145"/>
    <w:rsid w:val="00C80494"/>
    <w:rsid w:val="00C937DD"/>
    <w:rsid w:val="00CA0F72"/>
    <w:rsid w:val="00CB01A2"/>
    <w:rsid w:val="00D12487"/>
    <w:rsid w:val="00D76DB5"/>
    <w:rsid w:val="00D8080A"/>
    <w:rsid w:val="00DD0A6B"/>
    <w:rsid w:val="00E057CD"/>
    <w:rsid w:val="00E3390C"/>
    <w:rsid w:val="00E54D2E"/>
    <w:rsid w:val="00E97672"/>
    <w:rsid w:val="00ED66D0"/>
    <w:rsid w:val="00ED6D30"/>
    <w:rsid w:val="00ED7386"/>
    <w:rsid w:val="00F568E1"/>
    <w:rsid w:val="00F84714"/>
    <w:rsid w:val="00F92DD1"/>
    <w:rsid w:val="00FA0187"/>
    <w:rsid w:val="00FD6739"/>
    <w:rsid w:val="0E7B6DC7"/>
    <w:rsid w:val="33ED56C2"/>
    <w:rsid w:val="3CF821D1"/>
    <w:rsid w:val="433340CF"/>
    <w:rsid w:val="464845C8"/>
    <w:rsid w:val="5FE310F2"/>
    <w:rsid w:val="68A7361E"/>
    <w:rsid w:val="6E201A92"/>
    <w:rsid w:val="71B96608"/>
    <w:rsid w:val="75E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character" w:customStyle="1" w:styleId="Char2">
    <w:name w:val="标题 Char"/>
    <w:basedOn w:val="a0"/>
    <w:link w:val="a6"/>
    <w:uiPriority w:val="10"/>
    <w:rPr>
      <w:b/>
      <w:bCs/>
      <w:color w:val="1A1A1A"/>
      <w:kern w:val="2"/>
      <w:sz w:val="48"/>
      <w:szCs w:val="4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color w:val="333333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character" w:customStyle="1" w:styleId="Char2">
    <w:name w:val="标题 Char"/>
    <w:basedOn w:val="a0"/>
    <w:link w:val="a6"/>
    <w:uiPriority w:val="10"/>
    <w:rPr>
      <w:b/>
      <w:bCs/>
      <w:color w:val="1A1A1A"/>
      <w:kern w:val="2"/>
      <w:sz w:val="48"/>
      <w:szCs w:val="4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color w:val="333333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204</Characters>
  <Application>Microsoft Office Word</Application>
  <DocSecurity>0</DocSecurity>
  <Lines>7</Lines>
  <Paragraphs>4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2</cp:revision>
  <dcterms:created xsi:type="dcterms:W3CDTF">2025-04-02T11:10:00Z</dcterms:created>
  <dcterms:modified xsi:type="dcterms:W3CDTF">2025-04-02T07:33:00Z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eyJoZGlkIjoiZTAzMGYxYTYyMGJhYzk1ZTdhMzE2OTYxODU1YjMwZjkiLCJ1c2VySWQiOiIyNDI0MzgzOTYifQ==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907B6D87B6474A3FB1F0C699B162FA6B_13</vt:lpwstr>
  </property>
</Properties>
</file>