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0C6C79">
      <w:pPr>
        <w:pStyle w:val="6"/>
        <w:snapToGrid/>
        <w:spacing w:line="240" w:lineRule="auto"/>
        <w:rPr>
          <w:rFonts w:hint="eastAsia" w:eastAsiaTheme="minorEastAsia"/>
          <w:lang w:eastAsia="zh-CN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ADDIN CNKISM.UserStyle</w:instrText>
      </w:r>
      <w:r>
        <w:rPr>
          <w:rFonts w:hint="eastAsia"/>
        </w:rPr>
        <w:fldChar w:fldCharType="end"/>
      </w:r>
      <w:r>
        <w:t>材化学院实验室安全</w:t>
      </w:r>
      <w:r>
        <w:rPr>
          <w:rFonts w:hint="eastAsia"/>
        </w:rPr>
        <w:t>检查</w:t>
      </w:r>
      <w:r>
        <w:t>通报</w:t>
      </w:r>
      <w:r>
        <w:rPr>
          <w:rFonts w:hint="eastAsia"/>
        </w:rPr>
        <w:t xml:space="preserve"> 24-25-2-</w:t>
      </w:r>
      <w:r>
        <w:rPr>
          <w:rFonts w:hint="eastAsia"/>
          <w:lang w:val="en-US" w:eastAsia="zh-CN"/>
        </w:rPr>
        <w:t>7</w:t>
      </w:r>
    </w:p>
    <w:p w14:paraId="1E8699D3">
      <w:pPr>
        <w:snapToGrid/>
        <w:jc w:val="center"/>
      </w:pPr>
      <w:r>
        <w:t xml:space="preserve"> </w:t>
      </w:r>
    </w:p>
    <w:p w14:paraId="0566B347">
      <w:pPr>
        <w:spacing w:after="205" w:afterLines="50"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  <w:u w:val="single"/>
        </w:rPr>
        <w:t>202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</w:rPr>
        <w:t>5</w:t>
      </w:r>
      <w:r>
        <w:rPr>
          <w:rFonts w:ascii="Times New Roman" w:hAnsi="Times New Roman" w:eastAsia="仿宋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eastAsia="仿宋" w:cs="Times New Roman"/>
          <w:sz w:val="28"/>
          <w:szCs w:val="28"/>
        </w:rPr>
        <w:t>年</w:t>
      </w:r>
      <w:r>
        <w:rPr>
          <w:rFonts w:ascii="Times New Roman" w:hAnsi="Times New Roman" w:eastAsia="仿宋" w:cs="Times New Roman"/>
          <w:sz w:val="28"/>
          <w:szCs w:val="28"/>
          <w:u w:val="single"/>
        </w:rPr>
        <w:t xml:space="preserve"> 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</w:rPr>
        <w:t>4</w:t>
      </w:r>
      <w:r>
        <w:rPr>
          <w:rFonts w:ascii="Times New Roman" w:hAnsi="Times New Roman" w:eastAsia="仿宋" w:cs="Times New Roman"/>
          <w:sz w:val="28"/>
          <w:szCs w:val="28"/>
        </w:rPr>
        <w:t>月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  <w:lang w:val="en-US" w:eastAsia="zh-CN"/>
        </w:rPr>
        <w:t>10</w:t>
      </w:r>
      <w:r>
        <w:rPr>
          <w:rFonts w:ascii="Times New Roman" w:hAnsi="Times New Roman" w:eastAsia="仿宋" w:cs="Times New Roman"/>
          <w:sz w:val="28"/>
          <w:szCs w:val="28"/>
        </w:rPr>
        <w:t>日，实验室</w:t>
      </w:r>
      <w:r>
        <w:rPr>
          <w:rFonts w:hint="eastAsia" w:ascii="Times New Roman" w:hAnsi="Times New Roman" w:eastAsia="仿宋" w:cs="Times New Roman"/>
          <w:sz w:val="28"/>
          <w:szCs w:val="28"/>
        </w:rPr>
        <w:t>管理</w:t>
      </w:r>
      <w:r>
        <w:rPr>
          <w:rFonts w:ascii="Times New Roman" w:hAnsi="Times New Roman" w:eastAsia="仿宋" w:cs="Times New Roman"/>
          <w:sz w:val="28"/>
          <w:szCs w:val="28"/>
        </w:rPr>
        <w:t>人员对</w:t>
      </w:r>
      <w:r>
        <w:rPr>
          <w:rFonts w:hint="eastAsia" w:ascii="Times New Roman" w:hAnsi="Times New Roman" w:eastAsia="仿宋" w:cs="Times New Roman"/>
          <w:sz w:val="28"/>
          <w:szCs w:val="28"/>
        </w:rPr>
        <w:t>科研</w:t>
      </w:r>
      <w:r>
        <w:rPr>
          <w:rFonts w:ascii="Times New Roman" w:hAnsi="Times New Roman" w:eastAsia="仿宋" w:cs="Times New Roman"/>
          <w:sz w:val="28"/>
          <w:szCs w:val="28"/>
        </w:rPr>
        <w:t>实验室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及专业实验室</w:t>
      </w:r>
      <w:r>
        <w:rPr>
          <w:rFonts w:ascii="Times New Roman" w:hAnsi="Times New Roman" w:eastAsia="仿宋" w:cs="Times New Roman"/>
          <w:sz w:val="28"/>
          <w:szCs w:val="28"/>
        </w:rPr>
        <w:t>进行了安全检查，发现</w:t>
      </w:r>
      <w:r>
        <w:rPr>
          <w:rFonts w:hint="eastAsia" w:ascii="Times New Roman" w:hAnsi="Times New Roman" w:eastAsia="仿宋" w:cs="Times New Roman"/>
          <w:sz w:val="28"/>
          <w:szCs w:val="28"/>
        </w:rPr>
        <w:t>下述</w:t>
      </w:r>
      <w:r>
        <w:rPr>
          <w:rFonts w:ascii="Times New Roman" w:hAnsi="Times New Roman" w:eastAsia="仿宋" w:cs="Times New Roman"/>
          <w:sz w:val="28"/>
          <w:szCs w:val="28"/>
        </w:rPr>
        <w:t>实验室有违反实验室安全管理规定的行为：</w:t>
      </w:r>
    </w:p>
    <w:tbl>
      <w:tblPr>
        <w:tblStyle w:val="8"/>
        <w:tblW w:w="0" w:type="auto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1559"/>
        <w:gridCol w:w="3119"/>
        <w:gridCol w:w="1276"/>
        <w:gridCol w:w="1387"/>
      </w:tblGrid>
      <w:tr w14:paraId="6C94FAB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6" w:type="dxa"/>
            <w:vAlign w:val="center"/>
          </w:tcPr>
          <w:p w14:paraId="1832F969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实验室</w:t>
            </w:r>
          </w:p>
        </w:tc>
        <w:tc>
          <w:tcPr>
            <w:tcW w:w="1559" w:type="dxa"/>
            <w:vAlign w:val="center"/>
          </w:tcPr>
          <w:p w14:paraId="1F8D6D5D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隐患描述</w:t>
            </w:r>
          </w:p>
        </w:tc>
        <w:tc>
          <w:tcPr>
            <w:tcW w:w="3119" w:type="dxa"/>
            <w:vAlign w:val="center"/>
          </w:tcPr>
          <w:p w14:paraId="637030D4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隐患照片</w:t>
            </w:r>
          </w:p>
        </w:tc>
        <w:tc>
          <w:tcPr>
            <w:tcW w:w="1276" w:type="dxa"/>
            <w:vAlign w:val="center"/>
          </w:tcPr>
          <w:p w14:paraId="3A849834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对应条款</w:t>
            </w:r>
          </w:p>
        </w:tc>
        <w:tc>
          <w:tcPr>
            <w:tcW w:w="1387" w:type="dxa"/>
            <w:vAlign w:val="center"/>
          </w:tcPr>
          <w:p w14:paraId="1865AD7F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整改完成时间/措施</w:t>
            </w:r>
          </w:p>
        </w:tc>
      </w:tr>
      <w:tr w14:paraId="1772817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8" w:hRule="atLeast"/>
          <w:jc w:val="center"/>
        </w:trPr>
        <w:tc>
          <w:tcPr>
            <w:tcW w:w="1696" w:type="dxa"/>
            <w:vAlign w:val="center"/>
          </w:tcPr>
          <w:p w14:paraId="59B200D1">
            <w:pPr>
              <w:jc w:val="center"/>
              <w:rPr>
                <w:rFonts w:ascii="Times New Roman" w:hAnsi="Times New Roman" w:eastAsia="楷体" w:cs="Times New Roman"/>
                <w:sz w:val="28"/>
                <w:szCs w:val="28"/>
              </w:rPr>
            </w:pPr>
            <w:r>
              <w:rPr>
                <w:color w:val="000000"/>
              </w:rPr>
              <w:t>格致楼B117</w:t>
            </w:r>
          </w:p>
        </w:tc>
        <w:tc>
          <w:tcPr>
            <w:tcW w:w="1559" w:type="dxa"/>
            <w:vAlign w:val="center"/>
          </w:tcPr>
          <w:p w14:paraId="0CCA753D">
            <w:pPr>
              <w:numPr>
                <w:ilvl w:val="0"/>
                <w:numId w:val="1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>配电箱前不应有物品遮挡并便于操作，周围不应放置烘箱</w:t>
            </w:r>
          </w:p>
          <w:p w14:paraId="2FDF205E">
            <w:pPr>
              <w:numPr>
                <w:ilvl w:val="0"/>
                <w:numId w:val="1"/>
              </w:numPr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/>
              </w:rPr>
              <w:t>实验室堆积纸箱</w:t>
            </w:r>
          </w:p>
          <w:p w14:paraId="2B919A6E">
            <w:pPr>
              <w:pStyle w:val="17"/>
              <w:ind w:left="360" w:firstLineChars="0"/>
              <w:rPr>
                <w:rFonts w:ascii="Times New Roman" w:hAnsi="Times New Roman" w:eastAsia="楷体" w:cs="Times New Roman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554B0A85">
            <w:pPr>
              <w:jc w:val="both"/>
              <w:rPr>
                <w:rFonts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ascii="Times New Roman" w:hAnsi="Times New Roman" w:eastAsia="楷体" w:cs="Times New Roman"/>
                <w:sz w:val="28"/>
                <w:szCs w:val="28"/>
              </w:rPr>
              <w:drawing>
                <wp:inline distT="0" distB="0" distL="0" distR="0">
                  <wp:extent cx="1614170" cy="1786255"/>
                  <wp:effectExtent l="0" t="0" r="5080" b="4445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178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7F097F">
            <w:pPr>
              <w:jc w:val="both"/>
              <w:rPr>
                <w:rFonts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18615" cy="2158365"/>
                  <wp:effectExtent l="0" t="0" r="635" b="1333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615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2FEC1D9B">
            <w:pPr>
              <w:jc w:val="center"/>
              <w:rPr>
                <w:rFonts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ascii="Times New Roman" w:hAnsi="Times New Roman" w:eastAsia="楷体" w:cs="Times New Roman"/>
                <w:sz w:val="28"/>
                <w:szCs w:val="28"/>
              </w:rPr>
              <w:t>8.1.1</w:t>
            </w:r>
          </w:p>
        </w:tc>
        <w:tc>
          <w:tcPr>
            <w:tcW w:w="1387" w:type="dxa"/>
            <w:vAlign w:val="center"/>
          </w:tcPr>
          <w:p w14:paraId="011A0C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立整立改</w:t>
            </w:r>
          </w:p>
        </w:tc>
      </w:tr>
      <w:tr w14:paraId="054E71F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3" w:hRule="atLeast"/>
          <w:jc w:val="center"/>
        </w:trPr>
        <w:tc>
          <w:tcPr>
            <w:tcW w:w="1696" w:type="dxa"/>
            <w:vAlign w:val="center"/>
          </w:tcPr>
          <w:p w14:paraId="69A6C1A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敬德楼C505</w:t>
            </w:r>
            <w:r>
              <w:rPr>
                <w:rFonts w:hint="eastAsia"/>
                <w:color w:val="000000"/>
              </w:rPr>
              <w:t>西</w:t>
            </w:r>
          </w:p>
        </w:tc>
        <w:tc>
          <w:tcPr>
            <w:tcW w:w="1559" w:type="dxa"/>
            <w:vAlign w:val="center"/>
          </w:tcPr>
          <w:p w14:paraId="7022030A">
            <w:pPr>
              <w:numPr>
                <w:ilvl w:val="0"/>
                <w:numId w:val="2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>配电箱前不应有物品遮挡并便于操作，周围不应放置易燃易爆试剂</w:t>
            </w:r>
          </w:p>
          <w:p w14:paraId="0DC5E772">
            <w:pPr>
              <w:numPr>
                <w:ilvl w:val="0"/>
                <w:numId w:val="2"/>
              </w:numPr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  <w:lang w:eastAsia="zh-CN"/>
              </w:rPr>
              <w:t>配置试剂标签不全</w:t>
            </w:r>
          </w:p>
          <w:p w14:paraId="2A260046">
            <w:pPr>
              <w:pStyle w:val="17"/>
              <w:ind w:firstLine="0" w:firstLineChars="0"/>
              <w:rPr>
                <w:rFonts w:ascii="Times New Roman" w:hAnsi="Times New Roman" w:eastAsia="楷体" w:cs="Times New Roman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4D521849">
            <w:pPr>
              <w:jc w:val="center"/>
              <w:rPr>
                <w:rFonts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ascii="Times New Roman" w:hAnsi="Times New Roman" w:eastAsia="楷体" w:cs="Times New Roman"/>
                <w:sz w:val="28"/>
                <w:szCs w:val="28"/>
              </w:rPr>
              <w:drawing>
                <wp:inline distT="0" distB="0" distL="0" distR="0">
                  <wp:extent cx="1738630" cy="1660525"/>
                  <wp:effectExtent l="0" t="0" r="13970" b="15875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552072">
            <w:pPr>
              <w:rPr>
                <w:rFonts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4205" cy="1421130"/>
                  <wp:effectExtent l="0" t="0" r="10795" b="7620"/>
                  <wp:docPr id="3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205" cy="142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2F5871DF">
            <w:pPr>
              <w:jc w:val="center"/>
              <w:rPr>
                <w:rFonts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ascii="Times New Roman" w:hAnsi="Times New Roman" w:eastAsia="楷体" w:cs="Times New Roman"/>
                <w:sz w:val="28"/>
                <w:szCs w:val="28"/>
              </w:rPr>
              <w:t>8.1.1</w:t>
            </w:r>
          </w:p>
        </w:tc>
        <w:tc>
          <w:tcPr>
            <w:tcW w:w="1387" w:type="dxa"/>
            <w:vAlign w:val="center"/>
          </w:tcPr>
          <w:p w14:paraId="4AEFC9FD">
            <w:pPr>
              <w:jc w:val="center"/>
              <w:rPr>
                <w:color w:val="000000"/>
              </w:rPr>
            </w:pPr>
            <w:bookmarkStart w:id="0" w:name="OLE_LINK10"/>
            <w:r>
              <w:rPr>
                <w:color w:val="000000"/>
              </w:rPr>
              <w:t>立整立改</w:t>
            </w:r>
            <w:bookmarkEnd w:id="0"/>
          </w:p>
        </w:tc>
      </w:tr>
      <w:tr w14:paraId="56648A3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7" w:hRule="atLeast"/>
          <w:jc w:val="center"/>
        </w:trPr>
        <w:tc>
          <w:tcPr>
            <w:tcW w:w="1696" w:type="dxa"/>
            <w:vAlign w:val="center"/>
          </w:tcPr>
          <w:p w14:paraId="0F38A4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敬德楼C507</w:t>
            </w:r>
          </w:p>
        </w:tc>
        <w:tc>
          <w:tcPr>
            <w:tcW w:w="1559" w:type="dxa"/>
            <w:vAlign w:val="center"/>
          </w:tcPr>
          <w:p w14:paraId="2CE0A9E3">
            <w:pPr>
              <w:jc w:val="both"/>
              <w:rPr>
                <w:rFonts w:ascii="Times New Roman" w:hAnsi="Times New Roman" w:eastAsia="楷体" w:cs="Times New Roman"/>
                <w:sz w:val="28"/>
                <w:szCs w:val="28"/>
              </w:rPr>
            </w:pPr>
            <w:r>
              <w:rPr>
                <w:color w:val="000000"/>
              </w:rPr>
              <w:t>配电箱前不应有物品遮挡并便于操作，周围不应放置易燃易爆试剂、废液桶</w:t>
            </w:r>
          </w:p>
          <w:p w14:paraId="303456D0">
            <w:pPr>
              <w:jc w:val="center"/>
              <w:rPr>
                <w:rFonts w:ascii="Times New Roman" w:hAnsi="Times New Roman" w:eastAsia="楷体" w:cs="Times New Roman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0A9591C0">
            <w:pPr>
              <w:jc w:val="center"/>
              <w:rPr>
                <w:rFonts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ascii="Times New Roman" w:hAnsi="Times New Roman" w:eastAsia="楷体" w:cs="Times New Roman"/>
                <w:sz w:val="28"/>
                <w:szCs w:val="28"/>
              </w:rPr>
              <w:drawing>
                <wp:inline distT="0" distB="0" distL="0" distR="0">
                  <wp:extent cx="1629410" cy="1917700"/>
                  <wp:effectExtent l="0" t="0" r="8890" b="635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527FFCFB">
            <w:pPr>
              <w:jc w:val="center"/>
              <w:rPr>
                <w:rFonts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ascii="Times New Roman" w:hAnsi="Times New Roman" w:eastAsia="楷体" w:cs="Times New Roman"/>
                <w:sz w:val="28"/>
                <w:szCs w:val="28"/>
              </w:rPr>
              <w:t>8.1.1</w:t>
            </w:r>
          </w:p>
        </w:tc>
        <w:tc>
          <w:tcPr>
            <w:tcW w:w="1387" w:type="dxa"/>
            <w:vAlign w:val="center"/>
          </w:tcPr>
          <w:p w14:paraId="30EA8E6B">
            <w:pPr>
              <w:jc w:val="center"/>
              <w:rPr>
                <w:color w:val="000000"/>
              </w:rPr>
            </w:pPr>
            <w:bookmarkStart w:id="1" w:name="OLE_LINK12"/>
            <w:bookmarkStart w:id="2" w:name="OLE_LINK11"/>
            <w:r>
              <w:rPr>
                <w:color w:val="000000"/>
              </w:rPr>
              <w:t>立整立改</w:t>
            </w:r>
            <w:bookmarkEnd w:id="1"/>
            <w:bookmarkEnd w:id="2"/>
          </w:p>
        </w:tc>
      </w:tr>
      <w:tr w14:paraId="16ADF5F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4" w:hRule="atLeast"/>
          <w:jc w:val="center"/>
        </w:trPr>
        <w:tc>
          <w:tcPr>
            <w:tcW w:w="1696" w:type="dxa"/>
            <w:vAlign w:val="center"/>
          </w:tcPr>
          <w:p w14:paraId="0A5FA2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敬德楼C506西</w:t>
            </w:r>
          </w:p>
        </w:tc>
        <w:tc>
          <w:tcPr>
            <w:tcW w:w="1559" w:type="dxa"/>
            <w:vAlign w:val="center"/>
          </w:tcPr>
          <w:p w14:paraId="410E3C64">
            <w:pPr>
              <w:jc w:val="both"/>
              <w:rPr>
                <w:rFonts w:ascii="Times New Roman" w:hAnsi="Times New Roman" w:eastAsia="楷体" w:cs="Times New Roman"/>
                <w:sz w:val="28"/>
                <w:szCs w:val="28"/>
              </w:rPr>
            </w:pPr>
            <w:r>
              <w:rPr>
                <w:color w:val="000000"/>
              </w:rPr>
              <w:t>配电箱前不应有物品遮挡并便于操作，周围不应放置烘箱</w:t>
            </w:r>
          </w:p>
          <w:p w14:paraId="436A338D">
            <w:pPr>
              <w:rPr>
                <w:rFonts w:ascii="Times New Roman" w:hAnsi="Times New Roman" w:eastAsia="楷体" w:cs="Times New Roman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2BB2F2E9">
            <w:pPr>
              <w:jc w:val="center"/>
              <w:rPr>
                <w:rFonts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ascii="Times New Roman" w:hAnsi="Times New Roman" w:eastAsia="楷体" w:cs="Times New Roman"/>
                <w:sz w:val="28"/>
                <w:szCs w:val="28"/>
              </w:rPr>
              <w:drawing>
                <wp:inline distT="0" distB="0" distL="0" distR="0">
                  <wp:extent cx="1621155" cy="1939290"/>
                  <wp:effectExtent l="0" t="0" r="17145" b="3810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93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209727D3">
            <w:pPr>
              <w:jc w:val="center"/>
              <w:rPr>
                <w:rFonts w:ascii="Times New Roman" w:hAnsi="Times New Roman" w:eastAsia="楷体" w:cs="Times New Roman"/>
                <w:sz w:val="28"/>
                <w:szCs w:val="28"/>
              </w:rPr>
            </w:pPr>
            <w:r>
              <w:rPr>
                <w:rFonts w:ascii="Times New Roman" w:hAnsi="Times New Roman" w:eastAsia="楷体" w:cs="Times New Roman"/>
                <w:sz w:val="28"/>
                <w:szCs w:val="28"/>
              </w:rPr>
              <w:t>8.1.1</w:t>
            </w:r>
          </w:p>
        </w:tc>
        <w:tc>
          <w:tcPr>
            <w:tcW w:w="1387" w:type="dxa"/>
            <w:vAlign w:val="center"/>
          </w:tcPr>
          <w:p w14:paraId="3D2BB3B7">
            <w:pPr>
              <w:jc w:val="center"/>
              <w:rPr>
                <w:color w:val="000000"/>
              </w:rPr>
            </w:pPr>
            <w:bookmarkStart w:id="3" w:name="OLE_LINK15"/>
            <w:r>
              <w:rPr>
                <w:color w:val="000000"/>
              </w:rPr>
              <w:t>立整立改</w:t>
            </w:r>
            <w:bookmarkEnd w:id="3"/>
          </w:p>
        </w:tc>
      </w:tr>
      <w:tr w14:paraId="724B16F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4" w:hRule="atLeast"/>
          <w:jc w:val="center"/>
        </w:trPr>
        <w:tc>
          <w:tcPr>
            <w:tcW w:w="1696" w:type="dxa"/>
            <w:shd w:val="clear"/>
            <w:vAlign w:val="center"/>
          </w:tcPr>
          <w:p w14:paraId="4207048B">
            <w:pPr>
              <w:jc w:val="both"/>
              <w:rPr>
                <w:rFonts w:hint="default" w:eastAsiaTheme="minorEastAsi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格致楼</w:t>
            </w:r>
            <w:r>
              <w:rPr>
                <w:rFonts w:hint="eastAsia"/>
                <w:color w:val="000000"/>
                <w:lang w:val="en-US" w:eastAsia="zh-CN"/>
              </w:rPr>
              <w:t>A225</w:t>
            </w:r>
          </w:p>
        </w:tc>
        <w:tc>
          <w:tcPr>
            <w:tcW w:w="1559" w:type="dxa"/>
            <w:vAlign w:val="center"/>
          </w:tcPr>
          <w:p w14:paraId="436A86C5">
            <w:pPr>
              <w:jc w:val="both"/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管制类试剂存放于实验台下方的柜子里</w:t>
            </w:r>
          </w:p>
        </w:tc>
        <w:tc>
          <w:tcPr>
            <w:tcW w:w="3119" w:type="dxa"/>
            <w:vAlign w:val="center"/>
          </w:tcPr>
          <w:p w14:paraId="7174227C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41500" cy="2454910"/>
                  <wp:effectExtent l="0" t="0" r="6350" b="2540"/>
                  <wp:docPr id="6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245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0AA5B276">
            <w:pPr>
              <w:jc w:val="center"/>
              <w:rPr>
                <w:rFonts w:hint="default" w:ascii="Times New Roman" w:hAnsi="Times New Roman" w:eastAsia="楷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8"/>
                <w:szCs w:val="28"/>
                <w:lang w:val="en-US" w:eastAsia="zh-CN"/>
              </w:rPr>
              <w:t>9.5.1</w:t>
            </w:r>
          </w:p>
        </w:tc>
        <w:tc>
          <w:tcPr>
            <w:tcW w:w="1387" w:type="dxa"/>
            <w:vAlign w:val="center"/>
          </w:tcPr>
          <w:p w14:paraId="559B91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立整立改</w:t>
            </w:r>
            <w:bookmarkStart w:id="4" w:name="_GoBack"/>
            <w:bookmarkEnd w:id="4"/>
          </w:p>
        </w:tc>
      </w:tr>
    </w:tbl>
    <w:p w14:paraId="7759AF7E">
      <w:pPr>
        <w:snapToGrid/>
      </w:pPr>
    </w:p>
    <w:sectPr>
      <w:pgSz w:w="11905" w:h="16838"/>
      <w:pgMar w:top="1021" w:right="720" w:bottom="720" w:left="720" w:header="720" w:footer="720" w:gutter="0"/>
      <w:cols w:space="720" w:num="1"/>
      <w:docGrid w:type="lines" w:linePitch="41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onaco">
    <w:altName w:val="Courier New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</w:p>
  </w:footnote>
  <w:footnote w:type="continuationSeparator" w:id="1">
    <w:p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29751B"/>
    <w:multiLevelType w:val="singleLevel"/>
    <w:tmpl w:val="EB29751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DECC780"/>
    <w:multiLevelType w:val="singleLevel"/>
    <w:tmpl w:val="5DECC78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HorizontalSpacing w:val="110"/>
  <w:drawingGridVerticalSpacing w:val="205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hOWZiNTc4MGU1NWM4ZmNmMGRhM2RiNjcyMzU5YzIifQ=="/>
  </w:docVars>
  <w:rsids>
    <w:rsidRoot w:val="002A4463"/>
    <w:rsid w:val="000044C2"/>
    <w:rsid w:val="00015645"/>
    <w:rsid w:val="000172AF"/>
    <w:rsid w:val="00053777"/>
    <w:rsid w:val="00097446"/>
    <w:rsid w:val="000A44E6"/>
    <w:rsid w:val="000B3B39"/>
    <w:rsid w:val="000C32CC"/>
    <w:rsid w:val="000C6DB3"/>
    <w:rsid w:val="000D6E7D"/>
    <w:rsid w:val="000E2513"/>
    <w:rsid w:val="001226CA"/>
    <w:rsid w:val="0013765A"/>
    <w:rsid w:val="001812B7"/>
    <w:rsid w:val="00194B8B"/>
    <w:rsid w:val="001B2217"/>
    <w:rsid w:val="001B3915"/>
    <w:rsid w:val="001B4454"/>
    <w:rsid w:val="001C3E4E"/>
    <w:rsid w:val="001F2E0A"/>
    <w:rsid w:val="00221B1B"/>
    <w:rsid w:val="00223532"/>
    <w:rsid w:val="0023598F"/>
    <w:rsid w:val="00254DFB"/>
    <w:rsid w:val="002A4463"/>
    <w:rsid w:val="002B645C"/>
    <w:rsid w:val="002B6536"/>
    <w:rsid w:val="00325556"/>
    <w:rsid w:val="0033106C"/>
    <w:rsid w:val="0033568E"/>
    <w:rsid w:val="003419BD"/>
    <w:rsid w:val="003736D7"/>
    <w:rsid w:val="003A4031"/>
    <w:rsid w:val="003C45F6"/>
    <w:rsid w:val="003F394B"/>
    <w:rsid w:val="003F442C"/>
    <w:rsid w:val="00410007"/>
    <w:rsid w:val="0042179E"/>
    <w:rsid w:val="00444829"/>
    <w:rsid w:val="004452FC"/>
    <w:rsid w:val="00462A8E"/>
    <w:rsid w:val="00465D14"/>
    <w:rsid w:val="00481F35"/>
    <w:rsid w:val="004A6EE4"/>
    <w:rsid w:val="004B4071"/>
    <w:rsid w:val="00500C03"/>
    <w:rsid w:val="00530A56"/>
    <w:rsid w:val="00530D21"/>
    <w:rsid w:val="005313F4"/>
    <w:rsid w:val="00531551"/>
    <w:rsid w:val="00586809"/>
    <w:rsid w:val="00597C3D"/>
    <w:rsid w:val="005B12D2"/>
    <w:rsid w:val="005E630F"/>
    <w:rsid w:val="00612315"/>
    <w:rsid w:val="00627721"/>
    <w:rsid w:val="00640F7D"/>
    <w:rsid w:val="00645B5C"/>
    <w:rsid w:val="00647EA3"/>
    <w:rsid w:val="00661304"/>
    <w:rsid w:val="0067600C"/>
    <w:rsid w:val="0068730C"/>
    <w:rsid w:val="00697102"/>
    <w:rsid w:val="006A6D3A"/>
    <w:rsid w:val="006B26EE"/>
    <w:rsid w:val="006C3733"/>
    <w:rsid w:val="006D422F"/>
    <w:rsid w:val="006E1B95"/>
    <w:rsid w:val="00701249"/>
    <w:rsid w:val="00701C72"/>
    <w:rsid w:val="00723E9B"/>
    <w:rsid w:val="00740E79"/>
    <w:rsid w:val="00757190"/>
    <w:rsid w:val="0078083E"/>
    <w:rsid w:val="007839C7"/>
    <w:rsid w:val="007B0EB9"/>
    <w:rsid w:val="007B4A9F"/>
    <w:rsid w:val="007C284C"/>
    <w:rsid w:val="007C5F56"/>
    <w:rsid w:val="007F4338"/>
    <w:rsid w:val="00801C48"/>
    <w:rsid w:val="00806D51"/>
    <w:rsid w:val="0082390B"/>
    <w:rsid w:val="00833832"/>
    <w:rsid w:val="00854A0D"/>
    <w:rsid w:val="00876FDC"/>
    <w:rsid w:val="00897E16"/>
    <w:rsid w:val="008B4EBF"/>
    <w:rsid w:val="008E4DC9"/>
    <w:rsid w:val="008E51C6"/>
    <w:rsid w:val="008F73FE"/>
    <w:rsid w:val="0090289E"/>
    <w:rsid w:val="00926CB2"/>
    <w:rsid w:val="009514AE"/>
    <w:rsid w:val="00952530"/>
    <w:rsid w:val="00993822"/>
    <w:rsid w:val="00996A9B"/>
    <w:rsid w:val="009B3FB7"/>
    <w:rsid w:val="009C654F"/>
    <w:rsid w:val="009C7405"/>
    <w:rsid w:val="009E0754"/>
    <w:rsid w:val="00A40285"/>
    <w:rsid w:val="00A566BE"/>
    <w:rsid w:val="00AA7677"/>
    <w:rsid w:val="00AE3E09"/>
    <w:rsid w:val="00B1041D"/>
    <w:rsid w:val="00B53B99"/>
    <w:rsid w:val="00B632BD"/>
    <w:rsid w:val="00B665F2"/>
    <w:rsid w:val="00B95319"/>
    <w:rsid w:val="00BB3186"/>
    <w:rsid w:val="00BC610A"/>
    <w:rsid w:val="00BD6A76"/>
    <w:rsid w:val="00BE2153"/>
    <w:rsid w:val="00BF1FC6"/>
    <w:rsid w:val="00C009D5"/>
    <w:rsid w:val="00C209FE"/>
    <w:rsid w:val="00C32186"/>
    <w:rsid w:val="00C55AE8"/>
    <w:rsid w:val="00C704CC"/>
    <w:rsid w:val="00C71161"/>
    <w:rsid w:val="00C73145"/>
    <w:rsid w:val="00C80494"/>
    <w:rsid w:val="00C937DD"/>
    <w:rsid w:val="00CA0F72"/>
    <w:rsid w:val="00CB01A2"/>
    <w:rsid w:val="00D12487"/>
    <w:rsid w:val="00D76DB5"/>
    <w:rsid w:val="00D8080A"/>
    <w:rsid w:val="00DD0A6B"/>
    <w:rsid w:val="00E057CD"/>
    <w:rsid w:val="00E3390C"/>
    <w:rsid w:val="00E54D2E"/>
    <w:rsid w:val="00E97672"/>
    <w:rsid w:val="00ED66D0"/>
    <w:rsid w:val="00ED6D30"/>
    <w:rsid w:val="00ED7386"/>
    <w:rsid w:val="00F568E1"/>
    <w:rsid w:val="00F84714"/>
    <w:rsid w:val="00F92DD1"/>
    <w:rsid w:val="00FA0187"/>
    <w:rsid w:val="00FD6739"/>
    <w:rsid w:val="0E7B6DC7"/>
    <w:rsid w:val="33ED56C2"/>
    <w:rsid w:val="3CF821D1"/>
    <w:rsid w:val="433340CF"/>
    <w:rsid w:val="457B2DBC"/>
    <w:rsid w:val="464845C8"/>
    <w:rsid w:val="5D335675"/>
    <w:rsid w:val="5FE310F2"/>
    <w:rsid w:val="68A7361E"/>
    <w:rsid w:val="6E201A92"/>
    <w:rsid w:val="71B96608"/>
    <w:rsid w:val="75E3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60" w:after="60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qFormat/>
    <w:uiPriority w:val="99"/>
    <w:pPr>
      <w:spacing w:before="0" w:after="0"/>
    </w:pPr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6">
    <w:name w:val="Title"/>
    <w:basedOn w:val="1"/>
    <w:next w:val="1"/>
    <w:link w:val="16"/>
    <w:qFormat/>
    <w:uiPriority w:val="10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8">
    <w:name w:val="Table Grid"/>
    <w:basedOn w:val="7"/>
    <w:qFormat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10">
    <w:name w:val="Hyperlink"/>
    <w:basedOn w:val="9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批注框文本 Char"/>
    <w:basedOn w:val="9"/>
    <w:link w:val="3"/>
    <w:semiHidden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paragraph" w:customStyle="1" w:styleId="13">
    <w:name w:val="melo-codeblock-Base-theme-para"/>
    <w:basedOn w:val="1"/>
    <w:uiPriority w:val="0"/>
    <w:pPr>
      <w:spacing w:before="0" w:after="0" w:line="360" w:lineRule="auto"/>
    </w:pPr>
    <w:rPr>
      <w:rFonts w:ascii="Monaco" w:hAnsi="Monaco" w:eastAsia="Monaco" w:cs="Monaco"/>
      <w:color w:val="000000"/>
      <w:sz w:val="21"/>
    </w:rPr>
  </w:style>
  <w:style w:type="character" w:customStyle="1" w:styleId="14">
    <w:name w:val="页眉 Char"/>
    <w:basedOn w:val="9"/>
    <w:link w:val="5"/>
    <w:uiPriority w:val="99"/>
    <w:rPr>
      <w:sz w:val="18"/>
      <w:szCs w:val="18"/>
    </w:rPr>
  </w:style>
  <w:style w:type="character" w:customStyle="1" w:styleId="15">
    <w:name w:val="melo-codeblock-Base-theme-char"/>
    <w:qFormat/>
    <w:uiPriority w:val="0"/>
    <w:rPr>
      <w:rFonts w:ascii="Monaco" w:hAnsi="Monaco" w:eastAsia="Monaco" w:cs="Monaco"/>
      <w:color w:val="000000"/>
      <w:sz w:val="21"/>
    </w:rPr>
  </w:style>
  <w:style w:type="character" w:customStyle="1" w:styleId="16">
    <w:name w:val="标题 Char"/>
    <w:basedOn w:val="9"/>
    <w:link w:val="6"/>
    <w:qFormat/>
    <w:uiPriority w:val="10"/>
    <w:rPr>
      <w:b/>
      <w:bCs/>
      <w:color w:val="1A1A1A"/>
      <w:kern w:val="2"/>
      <w:sz w:val="48"/>
      <w:szCs w:val="48"/>
    </w:rPr>
  </w:style>
  <w:style w:type="paragraph" w:styleId="17">
    <w:name w:val="List Paragraph"/>
    <w:qFormat/>
    <w:uiPriority w:val="34"/>
    <w:pPr>
      <w:widowControl w:val="0"/>
      <w:snapToGrid w:val="0"/>
      <w:spacing w:before="60" w:after="60"/>
      <w:ind w:firstLine="420" w:firstLineChars="200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277</Words>
  <Characters>323</Characters>
  <Lines>7</Lines>
  <Paragraphs>4</Paragraphs>
  <TotalTime>11</TotalTime>
  <ScaleCrop>false</ScaleCrop>
  <LinksUpToDate>false</LinksUpToDate>
  <CharactersWithSpaces>327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2025-04-02T11:10:00Z</dcterms:created>
  <dc:creator>Administrator</dc:creator>
  <cp:lastModifiedBy>Administrator</cp:lastModifiedBy>
  <dcterms:modified xsi:type="dcterms:W3CDTF">2025-04-10T06:46:58Z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eyJoZGlkIjoiYTMyMWY4ODdiMmI4Y2Y3ODRhMmJlOTM4ZTA1ZDJlOTIifQ==</vt:lpwstr>
  </property>
  <property fmtid="{D5CDD505-2E9C-101B-9397-08002B2CF9AE}" pid="3" name="KSOProductBuildVer">
    <vt:lpwstr>2052-12.1.0.20305</vt:lpwstr>
  </property>
  <property fmtid="{D5CDD505-2E9C-101B-9397-08002B2CF9AE}" pid="4" name="ICV">
    <vt:lpwstr>72CB52B1D18C4D3FB09121A671AA3A70_13</vt:lpwstr>
  </property>
</Properties>
</file>