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Helvetica"/>
          <w:kern w:val="0"/>
          <w:sz w:val="32"/>
          <w:szCs w:val="32"/>
        </w:rPr>
        <w:t>附件</w:t>
      </w:r>
      <w:r>
        <w:rPr>
          <w:rFonts w:hint="eastAsia" w:ascii="黑体" w:hAnsi="黑体" w:eastAsia="黑体" w:cs="Helvetica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省级科研平台名单</w:t>
      </w:r>
    </w:p>
    <w:tbl>
      <w:tblPr>
        <w:tblStyle w:val="3"/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06"/>
        <w:gridCol w:w="4764"/>
        <w:gridCol w:w="2206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平台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批准部门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实验室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江苏省食品资源开发与质量安全重点建设实验室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食品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与生物工程学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院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2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江苏省工程机械检测与控制重点实验室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机电工程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江苏省工业污染控制与资源化重点建设实验室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环境工程学院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工程中心类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江苏省食品生物加工工程技术研究中心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食品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与生物工程学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院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江苏省工程装备数字化设计及检测工程技术研究中心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机电工程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江苏省食品生物转化与安全检测工程研究中心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食品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与生物工程学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院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省发改委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江苏省高性能结构材料与安全控制工程研究中心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土木工程学院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江苏省工程机械先进成形技术工程研究中心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机电工程学院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江苏省智慧物流云平台技术工程研究中心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管理工程学院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江苏省绿色化学与化工过程工程研究中心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材料与化学工程学院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江苏省碳基环境功能材料工程研究中心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环境工程学院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江苏省柔性储能工程研究中心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物理与新能源学院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江苏省机械装备智能感知与分析工程研究中心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信息工程学院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江苏省机器人视觉传感与协同控制工程研究中心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电气与控制工程学院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社科研究基地类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淮海地区非物质文化遗产研究中心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fldChar w:fldCharType="begin"/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instrText xml:space="preserve"> HYPERLINK "http://fyzx.xzit.edu.cn/" \t "https://www.xzit.edu.cn/898/_self" </w:instrTex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非物质文化遗产研究中心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fldChar w:fldCharType="end"/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淮海经济区高质量发展研究院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金融学院</w:t>
            </w:r>
          </w:p>
        </w:tc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vMerge w:val="continue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47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淮海经济区高质量发展研究基地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（决策咨询）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金融学院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省社科联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Tk3ZmMxMjI4MDFhZDA2NzUxZjJlMTQ1MTAxZjEifQ=="/>
  </w:docVars>
  <w:rsids>
    <w:rsidRoot w:val="26487407"/>
    <w:rsid w:val="264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2024-04-28T07:31:00Z</dcterms:created>
  <dc:creator>木易申易</dc:creator>
  <cp:lastModifiedBy>木易申易</cp:lastModifiedBy>
  <dcterms:modified xsi:type="dcterms:W3CDTF">2024-04-28T07:32:01Z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1142354FBDD34D9EA7FDA17C21DB7490_11</vt:lpwstr>
  </property>
</Properties>
</file>